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F849" w14:textId="77777777" w:rsidR="00632117" w:rsidRDefault="00632117" w:rsidP="00632117">
      <w:pPr>
        <w:rPr>
          <w:rFonts w:ascii="Calibri" w:hAnsi="Calibri"/>
          <w:b/>
          <w:sz w:val="32"/>
          <w:szCs w:val="32"/>
          <w:lang w:val="en-US"/>
        </w:rPr>
      </w:pPr>
    </w:p>
    <w:p w14:paraId="2B240354" w14:textId="77777777" w:rsidR="00632117" w:rsidRDefault="00632117" w:rsidP="00632117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1FA07C31" w14:textId="10565A33" w:rsidR="00632117" w:rsidRPr="00F90E8A" w:rsidRDefault="00632117" w:rsidP="00632117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036FEB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036FEB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6AC932FF" w14:textId="44DAB2DB" w:rsidR="00632117" w:rsidRDefault="00632117" w:rsidP="00632117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St. Clair College</w:t>
      </w:r>
      <w:r w:rsidR="00B57981">
        <w:rPr>
          <w:rFonts w:ascii="Calibri" w:hAnsi="Calibri" w:cs="Calibri"/>
          <w:sz w:val="20"/>
          <w:szCs w:val="20"/>
          <w:lang w:val="en-US"/>
        </w:rPr>
        <w:t>-Business Administration-Human Resources</w:t>
      </w:r>
    </w:p>
    <w:p w14:paraId="43B6609D" w14:textId="77777777" w:rsidR="00632117" w:rsidRPr="009C3EB1" w:rsidRDefault="00632117" w:rsidP="00632117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46A54A2A" w14:textId="77777777" w:rsidR="008372F6" w:rsidRPr="00EB4B71" w:rsidRDefault="00632117" w:rsidP="00632117">
      <w:pPr>
        <w:rPr>
          <w:rFonts w:ascii="Calibri" w:hAnsi="Calibri" w:cs="Calibri"/>
          <w:sz w:val="20"/>
          <w:szCs w:val="20"/>
          <w:lang w:val="en-US"/>
        </w:rPr>
      </w:pPr>
      <w:r w:rsidRPr="408C9C18">
        <w:rPr>
          <w:rFonts w:ascii="Calibri" w:hAnsi="Calibri" w:cs="Calibri"/>
          <w:sz w:val="20"/>
          <w:szCs w:val="20"/>
          <w:lang w:val="en-US"/>
        </w:rPr>
        <w:t xml:space="preserve">Please review your advanced standing credits in </w:t>
      </w:r>
      <w:proofErr w:type="spellStart"/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WebAdvisor</w:t>
      </w:r>
      <w:proofErr w:type="spellEnd"/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, Summary of Transfer Credits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 to compare with the courses listed on this plan. If you have a </w:t>
      </w:r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TR (transfer credit)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 for any “</w:t>
      </w:r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program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Program Requirements: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 Find the program requirements in the academic calendar or the academic self-assessment form provided by the Student Advising team, </w:t>
      </w:r>
      <w:hyperlink r:id="rId11">
        <w:r w:rsidRPr="408C9C18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408C9C1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DFF79E8" w14:textId="02BD0E3B" w:rsidR="408C9C18" w:rsidRDefault="408C9C18" w:rsidP="408C9C18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2727"/>
        <w:gridCol w:w="2886"/>
        <w:gridCol w:w="2491"/>
      </w:tblGrid>
      <w:tr w:rsidR="00632117" w:rsidRPr="00E7582E" w14:paraId="7C323723" w14:textId="77777777" w:rsidTr="00913C6C">
        <w:trPr>
          <w:trHeight w:val="525"/>
        </w:trPr>
        <w:tc>
          <w:tcPr>
            <w:tcW w:w="2686" w:type="dxa"/>
            <w:shd w:val="clear" w:color="auto" w:fill="auto"/>
          </w:tcPr>
          <w:p w14:paraId="4E1B1303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7FB52730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63AD591E" w14:textId="31618B98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9076C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727" w:type="dxa"/>
            <w:shd w:val="clear" w:color="auto" w:fill="auto"/>
          </w:tcPr>
          <w:p w14:paraId="0C40B755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29C5ECC8" w14:textId="1D0C1605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9076C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86" w:type="dxa"/>
            <w:shd w:val="clear" w:color="auto" w:fill="auto"/>
          </w:tcPr>
          <w:p w14:paraId="29197146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501B623F" w14:textId="61E62C3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9076C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4594E03B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7B6B0D00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54DEA379" w14:textId="599E7AFF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9076C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632117" w:rsidRPr="00E7582E" w14:paraId="62A3DF9E" w14:textId="77777777" w:rsidTr="00913C6C">
        <w:trPr>
          <w:trHeight w:val="525"/>
        </w:trPr>
        <w:tc>
          <w:tcPr>
            <w:tcW w:w="2686" w:type="dxa"/>
            <w:shd w:val="clear" w:color="auto" w:fill="auto"/>
          </w:tcPr>
          <w:p w14:paraId="5F989116" w14:textId="77777777" w:rsidR="00F55533" w:rsidRPr="00632117" w:rsidRDefault="00F55533" w:rsidP="00F55533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66E8986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7B02D9F2" w14:textId="77777777" w:rsidR="00F55533" w:rsidRPr="00632117" w:rsidRDefault="00F55533" w:rsidP="00F5553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66E89865">
              <w:rPr>
                <w:rFonts w:ascii="Calibri" w:hAnsi="Calibri" w:cs="Calibri"/>
                <w:sz w:val="18"/>
                <w:szCs w:val="18"/>
                <w:lang w:val="en-US"/>
              </w:rPr>
              <w:t>Business Math (program)</w:t>
            </w:r>
          </w:p>
          <w:p w14:paraId="46E708B4" w14:textId="7A6770DF" w:rsidR="00632117" w:rsidRPr="00632117" w:rsidRDefault="00632117" w:rsidP="39ACE6E3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14:paraId="2845C559" w14:textId="5D83A4CC" w:rsidR="00632117" w:rsidRPr="00632117" w:rsidRDefault="00081952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2147</w:t>
            </w:r>
          </w:p>
          <w:p w14:paraId="17B0A6A6" w14:textId="0B96165D" w:rsidR="00632117" w:rsidRPr="00632117" w:rsidRDefault="00081952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Management Accounting &amp; Control II (</w:t>
            </w:r>
            <w:r w:rsidR="0096749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elective) </w:t>
            </w:r>
            <w:r w:rsidR="00967496" w:rsidRPr="0096749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HRPA</w:t>
            </w:r>
          </w:p>
        </w:tc>
        <w:tc>
          <w:tcPr>
            <w:tcW w:w="2886" w:type="dxa"/>
            <w:shd w:val="clear" w:color="auto" w:fill="auto"/>
          </w:tcPr>
          <w:p w14:paraId="6EF5F46F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4606 </w:t>
            </w:r>
          </w:p>
          <w:p w14:paraId="6CAF4720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491" w:type="dxa"/>
            <w:shd w:val="clear" w:color="auto" w:fill="auto"/>
          </w:tcPr>
          <w:p w14:paraId="1B4879C2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4607 </w:t>
            </w:r>
          </w:p>
          <w:p w14:paraId="4673C6F1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</w:tr>
      <w:tr w:rsidR="00632117" w:rsidRPr="00E7582E" w14:paraId="487D49E2" w14:textId="77777777" w:rsidTr="00913C6C">
        <w:trPr>
          <w:trHeight w:val="541"/>
        </w:trPr>
        <w:tc>
          <w:tcPr>
            <w:tcW w:w="2686" w:type="dxa"/>
            <w:shd w:val="clear" w:color="auto" w:fill="auto"/>
          </w:tcPr>
          <w:p w14:paraId="2EC542D6" w14:textId="221FE858" w:rsidR="00C37F0E" w:rsidRPr="00632117" w:rsidRDefault="00C37F0E" w:rsidP="00C37F0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2997551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ORGS 300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7</w:t>
            </w:r>
            <w:r w:rsidRPr="2997551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74CA2CF" w14:textId="46A120C3" w:rsidR="00632117" w:rsidRPr="00632117" w:rsidRDefault="00C37F0E" w:rsidP="00C37F0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Strategic Corporate Social Responsibility (elective)</w:t>
            </w:r>
          </w:p>
        </w:tc>
        <w:tc>
          <w:tcPr>
            <w:tcW w:w="2727" w:type="dxa"/>
            <w:shd w:val="clear" w:color="auto" w:fill="auto"/>
          </w:tcPr>
          <w:p w14:paraId="120EB6F2" w14:textId="5DCEAA0E" w:rsidR="00632117" w:rsidRPr="00632117" w:rsidRDefault="000617DC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3146</w:t>
            </w:r>
            <w:r w:rsidR="002A5D20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598D09ED" w14:textId="1095C85A" w:rsidR="00632117" w:rsidRPr="00632117" w:rsidRDefault="000617DC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Compensation &amp; Rewards (</w:t>
            </w:r>
            <w:r w:rsidR="00913C6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elective) </w:t>
            </w:r>
            <w:r w:rsidR="00D3274A" w:rsidRPr="0096749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HRPA</w:t>
            </w:r>
          </w:p>
        </w:tc>
        <w:tc>
          <w:tcPr>
            <w:tcW w:w="2886" w:type="dxa"/>
            <w:shd w:val="clear" w:color="auto" w:fill="auto"/>
          </w:tcPr>
          <w:p w14:paraId="12C2A2CA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</w:p>
          <w:p w14:paraId="4FEBE31E" w14:textId="77777777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 w:rsidR="002A5D20"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14:paraId="2774D788" w14:textId="2B5DDCB2" w:rsidR="00632117" w:rsidRPr="00632117" w:rsidRDefault="00EC3754" w:rsidP="008529D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913C6C" w:rsidRPr="00E7582E" w14:paraId="2EAA0D68" w14:textId="77777777" w:rsidTr="00913C6C">
        <w:trPr>
          <w:trHeight w:val="525"/>
        </w:trPr>
        <w:tc>
          <w:tcPr>
            <w:tcW w:w="2686" w:type="dxa"/>
            <w:shd w:val="clear" w:color="auto" w:fill="auto"/>
          </w:tcPr>
          <w:p w14:paraId="08E6FD2E" w14:textId="77777777" w:rsidR="00913C6C" w:rsidRPr="00632117" w:rsidRDefault="00913C6C" w:rsidP="00913C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4206 </w:t>
            </w:r>
          </w:p>
          <w:p w14:paraId="49888761" w14:textId="208B7294" w:rsidR="00913C6C" w:rsidRPr="00632117" w:rsidRDefault="00913C6C" w:rsidP="00913C6C">
            <w:pPr>
              <w:rPr>
                <w:rFonts w:ascii="Calibri" w:hAnsi="Calibri" w:cs="Calibri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level 4000 elective) </w:t>
            </w:r>
          </w:p>
        </w:tc>
        <w:tc>
          <w:tcPr>
            <w:tcW w:w="2727" w:type="dxa"/>
            <w:shd w:val="clear" w:color="auto" w:fill="auto"/>
          </w:tcPr>
          <w:p w14:paraId="15BE7161" w14:textId="77777777" w:rsidR="00913C6C" w:rsidRPr="00632117" w:rsidRDefault="00913C6C" w:rsidP="00913C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2606 </w:t>
            </w:r>
          </w:p>
          <w:p w14:paraId="4610413F" w14:textId="77777777" w:rsidR="00913C6C" w:rsidRPr="00632117" w:rsidRDefault="00913C6C" w:rsidP="00913C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Statistics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program) </w:t>
            </w:r>
          </w:p>
        </w:tc>
        <w:tc>
          <w:tcPr>
            <w:tcW w:w="2886" w:type="dxa"/>
            <w:shd w:val="clear" w:color="auto" w:fill="auto"/>
          </w:tcPr>
          <w:p w14:paraId="09EAA071" w14:textId="77777777" w:rsidR="00913C6C" w:rsidRPr="00632117" w:rsidRDefault="00913C6C" w:rsidP="00913C6C">
            <w:pPr>
              <w:rPr>
                <w:rFonts w:ascii="Calibri" w:eastAsia="Calibri" w:hAnsi="Calibri" w:cs="Calibri"/>
                <w:color w:val="FF0000"/>
                <w:sz w:val="18"/>
                <w:szCs w:val="18"/>
                <w:lang w:val="en-US"/>
              </w:rPr>
            </w:pPr>
            <w:r w:rsidRPr="589E6E0C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3046 </w:t>
            </w:r>
          </w:p>
          <w:p w14:paraId="447ECAEA" w14:textId="0919C946" w:rsidR="00913C6C" w:rsidRPr="00632117" w:rsidRDefault="00913C6C" w:rsidP="00913C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589E6E0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Operations Management (program)</w:t>
            </w:r>
          </w:p>
        </w:tc>
        <w:tc>
          <w:tcPr>
            <w:tcW w:w="2491" w:type="dxa"/>
            <w:shd w:val="clear" w:color="auto" w:fill="auto"/>
          </w:tcPr>
          <w:p w14:paraId="4F3B3D43" w14:textId="4F8B47D0" w:rsidR="00913C6C" w:rsidRPr="00632117" w:rsidRDefault="00913C6C" w:rsidP="00913C6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913C6C" w:rsidRPr="00E7582E" w14:paraId="5747F233" w14:textId="77777777" w:rsidTr="00913C6C">
        <w:trPr>
          <w:trHeight w:val="525"/>
        </w:trPr>
        <w:tc>
          <w:tcPr>
            <w:tcW w:w="2686" w:type="dxa"/>
            <w:shd w:val="clear" w:color="auto" w:fill="auto"/>
          </w:tcPr>
          <w:p w14:paraId="21E658DD" w14:textId="77777777" w:rsidR="00A92C4A" w:rsidRPr="00F55533" w:rsidRDefault="00A92C4A" w:rsidP="00A92C4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F55533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MKTG 2127 </w:t>
            </w:r>
          </w:p>
          <w:p w14:paraId="1CEBD1C8" w14:textId="77777777" w:rsidR="00A92C4A" w:rsidRPr="00F55533" w:rsidRDefault="00A92C4A" w:rsidP="00A92C4A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(</w:t>
            </w:r>
            <w:r w:rsidRPr="00F5553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Marketing for Managers (program)</w:t>
            </w:r>
          </w:p>
          <w:p w14:paraId="4CD10EFF" w14:textId="3E962A6C" w:rsidR="00913C6C" w:rsidRPr="00632117" w:rsidRDefault="00913C6C" w:rsidP="00913C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727" w:type="dxa"/>
            <w:shd w:val="clear" w:color="auto" w:fill="auto"/>
          </w:tcPr>
          <w:p w14:paraId="0B3919AB" w14:textId="77777777" w:rsidR="00913C6C" w:rsidRPr="00632117" w:rsidRDefault="00913C6C" w:rsidP="00913C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289A5E1C" w14:textId="77777777" w:rsidR="00913C6C" w:rsidRPr="00632117" w:rsidRDefault="00913C6C" w:rsidP="00913C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86" w:type="dxa"/>
            <w:shd w:val="clear" w:color="auto" w:fill="auto"/>
          </w:tcPr>
          <w:p w14:paraId="4519195C" w14:textId="64534225" w:rsidR="00913C6C" w:rsidRPr="00632117" w:rsidRDefault="00A92C4A" w:rsidP="00EC375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491" w:type="dxa"/>
            <w:shd w:val="clear" w:color="auto" w:fill="auto"/>
          </w:tcPr>
          <w:p w14:paraId="6EEEB94F" w14:textId="77777777" w:rsidR="00913C6C" w:rsidRPr="00632117" w:rsidRDefault="00913C6C" w:rsidP="00913C6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913C6C" w:rsidRPr="00E7582E" w14:paraId="1C560D3C" w14:textId="77777777" w:rsidTr="00913C6C">
        <w:trPr>
          <w:trHeight w:val="467"/>
        </w:trPr>
        <w:tc>
          <w:tcPr>
            <w:tcW w:w="2686" w:type="dxa"/>
            <w:shd w:val="clear" w:color="auto" w:fill="auto"/>
          </w:tcPr>
          <w:p w14:paraId="7E237AF2" w14:textId="77777777" w:rsidR="00913C6C" w:rsidRPr="00632117" w:rsidRDefault="00913C6C" w:rsidP="00913C6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</w:tcPr>
          <w:p w14:paraId="3D7AB13E" w14:textId="77777777" w:rsidR="00A92C4A" w:rsidRPr="00632117" w:rsidRDefault="00A92C4A" w:rsidP="00A92C4A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FINC 3116</w:t>
            </w:r>
          </w:p>
          <w:p w14:paraId="0C0779B7" w14:textId="26EE6899" w:rsidR="00913C6C" w:rsidRPr="00632117" w:rsidRDefault="00A92C4A" w:rsidP="00A92C4A">
            <w:pPr>
              <w:rPr>
                <w:rFonts w:ascii="Calibri" w:hAnsi="Calibri" w:cs="Calibri"/>
                <w:b/>
                <w:bCs/>
                <w:color w:val="FF0000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Financial Management I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86" w:type="dxa"/>
            <w:shd w:val="clear" w:color="auto" w:fill="auto"/>
          </w:tcPr>
          <w:p w14:paraId="15D52777" w14:textId="0BBADDCC" w:rsidR="00913C6C" w:rsidRPr="00632117" w:rsidRDefault="00913C6C" w:rsidP="00913C6C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491" w:type="dxa"/>
            <w:shd w:val="clear" w:color="auto" w:fill="auto"/>
          </w:tcPr>
          <w:p w14:paraId="2D57CCBC" w14:textId="77777777" w:rsidR="00913C6C" w:rsidRPr="00632117" w:rsidRDefault="00913C6C" w:rsidP="00913C6C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56E36A03" w14:textId="77777777" w:rsidR="006A1C57" w:rsidRDefault="006A1C57" w:rsidP="006A1C57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6D66D72B" w14:textId="06C01148" w:rsidR="006A1C57" w:rsidRPr="00803FF9" w:rsidRDefault="006A1C57" w:rsidP="006A1C57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</w:t>
      </w:r>
      <w:r w:rsidR="00BD77CB">
        <w:rPr>
          <w:rFonts w:ascii="Calibri" w:hAnsi="Calibri" w:cs="Calibri"/>
          <w:b/>
          <w:sz w:val="20"/>
          <w:szCs w:val="20"/>
          <w:lang w:val="en-US"/>
        </w:rPr>
        <w:t xml:space="preserve">ADMN 4206 and ORGS 4837 </w:t>
      </w:r>
      <w:r>
        <w:rPr>
          <w:rFonts w:ascii="Calibri" w:hAnsi="Calibri" w:cs="Calibri"/>
          <w:b/>
          <w:sz w:val="20"/>
          <w:szCs w:val="20"/>
          <w:lang w:val="en-US"/>
        </w:rPr>
        <w:t>are level 4000 business electives.</w:t>
      </w:r>
    </w:p>
    <w:p w14:paraId="1D5983E9" w14:textId="77777777" w:rsidR="006A1C57" w:rsidRDefault="006A1C57" w:rsidP="006A1C57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79AB6257" w14:textId="77777777" w:rsidR="00A1678B" w:rsidRDefault="00A1678B" w:rsidP="00A1678B">
      <w:pPr>
        <w:rPr>
          <w:rFonts w:ascii="Calibri" w:hAnsi="Calibri" w:cs="Calibri"/>
          <w:b/>
          <w:color w:val="00B0F0"/>
          <w:sz w:val="20"/>
          <w:szCs w:val="20"/>
          <w:lang w:val="en-US"/>
        </w:rPr>
      </w:pPr>
    </w:p>
    <w:p w14:paraId="4A6C719B" w14:textId="76855D87" w:rsidR="00A1678B" w:rsidRPr="00FC7D95" w:rsidRDefault="00A1678B" w:rsidP="00A1678B">
      <w:pPr>
        <w:rPr>
          <w:rFonts w:ascii="Calibri" w:hAnsi="Calibri" w:cs="Calibri"/>
          <w:b/>
          <w:i/>
          <w:iCs/>
          <w:sz w:val="20"/>
          <w:szCs w:val="20"/>
          <w:lang w:val="en-US"/>
        </w:rPr>
      </w:pPr>
      <w:r w:rsidRPr="00233719">
        <w:rPr>
          <w:rFonts w:ascii="Calibri" w:hAnsi="Calibri" w:cs="Calibri"/>
          <w:b/>
          <w:color w:val="00B0F0"/>
          <w:sz w:val="20"/>
          <w:szCs w:val="20"/>
          <w:lang w:val="en-US"/>
        </w:rPr>
        <w:t>HRPA</w:t>
      </w:r>
      <w:r>
        <w:rPr>
          <w:rFonts w:ascii="Calibri" w:hAnsi="Calibri" w:cs="Calibri"/>
          <w:b/>
          <w:color w:val="00B0F0"/>
          <w:sz w:val="20"/>
          <w:szCs w:val="20"/>
          <w:lang w:val="en-US"/>
        </w:rPr>
        <w:t xml:space="preserve"> &amp; HR Concentration: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If you are planning on the </w:t>
      </w:r>
      <w:r w:rsidRPr="000B523F">
        <w:rPr>
          <w:rFonts w:ascii="Calibri" w:hAnsi="Calibri" w:cs="Calibri"/>
          <w:bCs/>
          <w:sz w:val="20"/>
          <w:szCs w:val="20"/>
          <w:u w:val="single"/>
          <w:lang w:val="en-US"/>
        </w:rPr>
        <w:t>HR Concentration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and the </w:t>
      </w:r>
      <w:r w:rsidRPr="000B523F">
        <w:rPr>
          <w:rFonts w:ascii="Calibri" w:hAnsi="Calibri" w:cs="Calibri"/>
          <w:bCs/>
          <w:sz w:val="20"/>
          <w:szCs w:val="20"/>
          <w:u w:val="single"/>
          <w:lang w:val="en-US"/>
        </w:rPr>
        <w:t>HR designation with HRPA</w:t>
      </w:r>
      <w:r>
        <w:rPr>
          <w:rFonts w:ascii="Calibri" w:hAnsi="Calibri" w:cs="Calibri"/>
          <w:bCs/>
          <w:sz w:val="20"/>
          <w:szCs w:val="20"/>
          <w:lang w:val="en-US"/>
        </w:rPr>
        <w:t>, the HR</w:t>
      </w:r>
      <w:r w:rsidR="00FE4478">
        <w:rPr>
          <w:rFonts w:ascii="Calibri" w:hAnsi="Calibri" w:cs="Calibri"/>
          <w:bCs/>
          <w:sz w:val="20"/>
          <w:szCs w:val="20"/>
          <w:lang w:val="en-US"/>
        </w:rPr>
        <w:t>PA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equivalencies courses are electives listed on the plan.</w:t>
      </w:r>
      <w:r w:rsidR="00FE4478">
        <w:rPr>
          <w:rFonts w:ascii="Calibri" w:hAnsi="Calibri" w:cs="Calibri"/>
          <w:bCs/>
          <w:sz w:val="20"/>
          <w:szCs w:val="20"/>
          <w:lang w:val="en-US"/>
        </w:rPr>
        <w:t xml:space="preserve"> There are different requirements for the HR concentration.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If you do not wish to take those HR electives, please substitute other courses. Please check on the </w:t>
      </w:r>
      <w:r w:rsidRPr="00FC7D95">
        <w:rPr>
          <w:rFonts w:ascii="Calibri" w:hAnsi="Calibri" w:cs="Calibri"/>
          <w:b/>
          <w:i/>
          <w:iCs/>
          <w:sz w:val="20"/>
          <w:szCs w:val="20"/>
          <w:lang w:val="en-US"/>
        </w:rPr>
        <w:t xml:space="preserve">Academic Calendar 4-year Bachelor of Commerce HR </w:t>
      </w:r>
      <w:r w:rsidR="00CD465F">
        <w:rPr>
          <w:rFonts w:ascii="Calibri" w:hAnsi="Calibri" w:cs="Calibri"/>
          <w:b/>
          <w:i/>
          <w:iCs/>
          <w:sz w:val="20"/>
          <w:szCs w:val="20"/>
          <w:lang w:val="en-US"/>
        </w:rPr>
        <w:t>C</w:t>
      </w:r>
      <w:r w:rsidRPr="00FC7D95">
        <w:rPr>
          <w:rFonts w:ascii="Calibri" w:hAnsi="Calibri" w:cs="Calibri"/>
          <w:b/>
          <w:i/>
          <w:iCs/>
          <w:sz w:val="20"/>
          <w:szCs w:val="20"/>
          <w:lang w:val="en-US"/>
        </w:rPr>
        <w:t>oncentration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to verify your transfer credits &amp; courses for HR concentration. To request the HR concentration to be added to your degree, email </w:t>
      </w:r>
      <w:r w:rsidRPr="00FC7D95">
        <w:rPr>
          <w:rFonts w:ascii="Calibri" w:hAnsi="Calibri" w:cs="Calibri"/>
          <w:b/>
          <w:i/>
          <w:iCs/>
          <w:sz w:val="20"/>
          <w:szCs w:val="20"/>
          <w:lang w:val="en-US"/>
        </w:rPr>
        <w:t>programchange@nipissingu.ca</w:t>
      </w:r>
    </w:p>
    <w:p w14:paraId="2130063F" w14:textId="77777777" w:rsidR="00A1678B" w:rsidRDefault="00A1678B" w:rsidP="006A1C57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0E263BB8" w14:textId="68B27499" w:rsidR="006A1C57" w:rsidRDefault="006A1C57" w:rsidP="006A1C57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6BCDAC8D" w14:textId="77777777" w:rsidR="006A1C57" w:rsidRPr="000E0559" w:rsidRDefault="006A1C57" w:rsidP="006A1C57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4C618B97" w14:textId="77777777" w:rsidR="006A1C57" w:rsidRPr="00D014EB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 course is delivered at Algonquin College </w:t>
      </w:r>
    </w:p>
    <w:p w14:paraId="55350F1F" w14:textId="77777777" w:rsidR="006A1C57" w:rsidRPr="00D014EB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-course is delivered at Lambton College </w:t>
      </w:r>
    </w:p>
    <w:p w14:paraId="6F920E59" w14:textId="77777777" w:rsidR="006A1C57" w:rsidRPr="00D014EB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-course is delivered at Centennial College </w:t>
      </w:r>
    </w:p>
    <w:p w14:paraId="513D505C" w14:textId="77777777" w:rsidR="006A1C57" w:rsidRPr="00543ADF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  <w:highlight w:val="yellow"/>
        </w:rPr>
      </w:pPr>
      <w:r w:rsidRPr="00543ADF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543ADF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829</w:t>
      </w:r>
      <w:r w:rsidRPr="00543ADF">
        <w:rPr>
          <w:rFonts w:ascii="Calibri" w:hAnsi="Calibri" w:cs="Calibri"/>
          <w:sz w:val="20"/>
          <w:szCs w:val="20"/>
          <w:highlight w:val="yellow"/>
          <w:lang w:val="en-US"/>
        </w:rPr>
        <w:t>-course is delivered at St. Clair College ex. ADMN 1607-FA829</w:t>
      </w:r>
    </w:p>
    <w:p w14:paraId="3840C625" w14:textId="77777777" w:rsidR="006A1C57" w:rsidRPr="0097584A" w:rsidRDefault="006A1C57" w:rsidP="006A1C57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27FE426C" w14:textId="77777777" w:rsidR="006A1C57" w:rsidRPr="0097584A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6046FFED" w14:textId="77777777" w:rsidR="006A1C57" w:rsidRPr="0097584A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1ED50702" w14:textId="77777777" w:rsidR="006A1C57" w:rsidRPr="0097584A" w:rsidRDefault="006A1C57" w:rsidP="006A1C57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6D7A9E62" w14:textId="77777777" w:rsidR="006A1C57" w:rsidRPr="0097584A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141AFA75" w14:textId="77777777" w:rsidR="006A1C57" w:rsidRPr="0097584A" w:rsidRDefault="006A1C57" w:rsidP="006A1C57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6A0720DC" w14:textId="77777777" w:rsidR="006A1C57" w:rsidRDefault="006A1C57" w:rsidP="006A1C57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lastRenderedPageBreak/>
        <w:t xml:space="preserve">Not all courses have an 881 code. You can take any 801 or 841 course but you will have to book your exam at a local exam center or write the exam in North Bay. </w:t>
      </w:r>
    </w:p>
    <w:p w14:paraId="0E7732AD" w14:textId="77777777" w:rsidR="00A1678B" w:rsidRDefault="00A1678B" w:rsidP="006A1C57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2E848744" w14:textId="7D2BA573" w:rsidR="006A1C57" w:rsidRPr="008D190B" w:rsidRDefault="006A1C57" w:rsidP="006A1C57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60CB7C82" w14:textId="77777777" w:rsidR="00A1678B" w:rsidRDefault="00A1678B" w:rsidP="006A1C57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2D461266" w14:textId="0DDFE11B" w:rsidR="006A1C57" w:rsidRDefault="006A1C57" w:rsidP="006A1C57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743C8C99" w14:textId="77777777" w:rsidR="006A1C57" w:rsidRDefault="006A1C57" w:rsidP="006A1C57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02A544DE" w14:textId="77777777" w:rsidR="00A1678B" w:rsidRDefault="00A1678B" w:rsidP="006A1C57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1986248C" w14:textId="79746DCD" w:rsidR="00AC6E4F" w:rsidRPr="006A1C57" w:rsidRDefault="006A1C57" w:rsidP="006A1C57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sectPr w:rsidR="00AC6E4F" w:rsidRPr="006A1C57" w:rsidSect="00F105A2">
      <w:headerReference w:type="default" r:id="rId13"/>
      <w:footerReference w:type="default" r:id="rId14"/>
      <w:pgSz w:w="12240" w:h="15840" w:code="1"/>
      <w:pgMar w:top="720" w:right="720" w:bottom="720" w:left="720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4885" w14:textId="77777777" w:rsidR="00476F1E" w:rsidRDefault="00476F1E">
      <w:r>
        <w:separator/>
      </w:r>
    </w:p>
  </w:endnote>
  <w:endnote w:type="continuationSeparator" w:id="0">
    <w:p w14:paraId="220DF1B9" w14:textId="77777777" w:rsidR="00476F1E" w:rsidRDefault="0047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5481" w14:textId="77777777" w:rsidR="00471A17" w:rsidRPr="00D44B93" w:rsidRDefault="00F22561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471A17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471A17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AFCB" w14:textId="77777777" w:rsidR="00476F1E" w:rsidRDefault="00476F1E">
      <w:r>
        <w:separator/>
      </w:r>
    </w:p>
  </w:footnote>
  <w:footnote w:type="continuationSeparator" w:id="0">
    <w:p w14:paraId="14FE574F" w14:textId="77777777" w:rsidR="00476F1E" w:rsidRDefault="0047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BBC2" w14:textId="0458979C" w:rsidR="00471A17" w:rsidRDefault="408C9C18" w:rsidP="006A3C9C">
    <w:pPr>
      <w:pStyle w:val="Header"/>
      <w:jc w:val="center"/>
    </w:pPr>
    <w:r>
      <w:rPr>
        <w:noProof/>
      </w:rPr>
      <w:drawing>
        <wp:inline distT="0" distB="0" distL="0" distR="0" wp14:anchorId="0F798A9F" wp14:editId="74F60B96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7456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35BCF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5617826">
    <w:abstractNumId w:val="0"/>
  </w:num>
  <w:num w:numId="2" w16cid:durableId="482090825">
    <w:abstractNumId w:val="2"/>
  </w:num>
  <w:num w:numId="3" w16cid:durableId="1661350271">
    <w:abstractNumId w:val="4"/>
  </w:num>
  <w:num w:numId="4" w16cid:durableId="897132547">
    <w:abstractNumId w:val="5"/>
  </w:num>
  <w:num w:numId="5" w16cid:durableId="1865366286">
    <w:abstractNumId w:val="1"/>
  </w:num>
  <w:num w:numId="6" w16cid:durableId="1724255548">
    <w:abstractNumId w:val="6"/>
  </w:num>
  <w:num w:numId="7" w16cid:durableId="48151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36FEB"/>
    <w:rsid w:val="000615B3"/>
    <w:rsid w:val="000617DC"/>
    <w:rsid w:val="00081952"/>
    <w:rsid w:val="000859DE"/>
    <w:rsid w:val="000B02A5"/>
    <w:rsid w:val="000C1622"/>
    <w:rsid w:val="000F681F"/>
    <w:rsid w:val="0012460A"/>
    <w:rsid w:val="001660FC"/>
    <w:rsid w:val="001712C0"/>
    <w:rsid w:val="00187F50"/>
    <w:rsid w:val="001C46EA"/>
    <w:rsid w:val="001F3F24"/>
    <w:rsid w:val="00237BAD"/>
    <w:rsid w:val="00262AB8"/>
    <w:rsid w:val="00286307"/>
    <w:rsid w:val="002A5D20"/>
    <w:rsid w:val="002C10C7"/>
    <w:rsid w:val="003518DB"/>
    <w:rsid w:val="00381485"/>
    <w:rsid w:val="003C393F"/>
    <w:rsid w:val="003C3A69"/>
    <w:rsid w:val="00440E5C"/>
    <w:rsid w:val="00464174"/>
    <w:rsid w:val="00471A17"/>
    <w:rsid w:val="0047272A"/>
    <w:rsid w:val="0047274C"/>
    <w:rsid w:val="00476F1E"/>
    <w:rsid w:val="00497C10"/>
    <w:rsid w:val="004C1A42"/>
    <w:rsid w:val="005B7195"/>
    <w:rsid w:val="005C3696"/>
    <w:rsid w:val="0060778B"/>
    <w:rsid w:val="00617425"/>
    <w:rsid w:val="006256A4"/>
    <w:rsid w:val="00632117"/>
    <w:rsid w:val="006A1C57"/>
    <w:rsid w:val="006A3C9C"/>
    <w:rsid w:val="006B4C0F"/>
    <w:rsid w:val="00720B46"/>
    <w:rsid w:val="007439ED"/>
    <w:rsid w:val="007D48CF"/>
    <w:rsid w:val="008343AD"/>
    <w:rsid w:val="008372F6"/>
    <w:rsid w:val="008529DD"/>
    <w:rsid w:val="008570A8"/>
    <w:rsid w:val="008767A7"/>
    <w:rsid w:val="0088416B"/>
    <w:rsid w:val="008C0E0E"/>
    <w:rsid w:val="008C4A88"/>
    <w:rsid w:val="009076CB"/>
    <w:rsid w:val="00913C6C"/>
    <w:rsid w:val="0096525B"/>
    <w:rsid w:val="00967496"/>
    <w:rsid w:val="009B2043"/>
    <w:rsid w:val="009E003F"/>
    <w:rsid w:val="00A1678B"/>
    <w:rsid w:val="00A577AA"/>
    <w:rsid w:val="00A64646"/>
    <w:rsid w:val="00A7098B"/>
    <w:rsid w:val="00A744FE"/>
    <w:rsid w:val="00A92C4A"/>
    <w:rsid w:val="00AC3B35"/>
    <w:rsid w:val="00AC6E4F"/>
    <w:rsid w:val="00AF5FEC"/>
    <w:rsid w:val="00B3564A"/>
    <w:rsid w:val="00B57981"/>
    <w:rsid w:val="00B81B36"/>
    <w:rsid w:val="00BD77CB"/>
    <w:rsid w:val="00C17F56"/>
    <w:rsid w:val="00C32C40"/>
    <w:rsid w:val="00C37F0E"/>
    <w:rsid w:val="00CA314D"/>
    <w:rsid w:val="00CD465F"/>
    <w:rsid w:val="00CE12BC"/>
    <w:rsid w:val="00CF0000"/>
    <w:rsid w:val="00D05332"/>
    <w:rsid w:val="00D3274A"/>
    <w:rsid w:val="00D34EF0"/>
    <w:rsid w:val="00DF69C2"/>
    <w:rsid w:val="00E22AE9"/>
    <w:rsid w:val="00E25EE4"/>
    <w:rsid w:val="00E41CC3"/>
    <w:rsid w:val="00E467CC"/>
    <w:rsid w:val="00E61572"/>
    <w:rsid w:val="00E7582E"/>
    <w:rsid w:val="00EA4D3C"/>
    <w:rsid w:val="00EC3754"/>
    <w:rsid w:val="00F03869"/>
    <w:rsid w:val="00F043D0"/>
    <w:rsid w:val="00F105A2"/>
    <w:rsid w:val="00F55533"/>
    <w:rsid w:val="00F6710E"/>
    <w:rsid w:val="00FC6F54"/>
    <w:rsid w:val="00FE4478"/>
    <w:rsid w:val="00FF3DB8"/>
    <w:rsid w:val="17836E9A"/>
    <w:rsid w:val="2997551F"/>
    <w:rsid w:val="2C3C087B"/>
    <w:rsid w:val="3994A8EA"/>
    <w:rsid w:val="39ACE6E3"/>
    <w:rsid w:val="408C9C18"/>
    <w:rsid w:val="589E6E0C"/>
    <w:rsid w:val="63A3B8AB"/>
    <w:rsid w:val="66E89865"/>
    <w:rsid w:val="6AC74A76"/>
    <w:rsid w:val="76FDC010"/>
    <w:rsid w:val="7C99C1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9A7BFF"/>
  <w15:chartTrackingRefBased/>
  <w15:docId w15:val="{A66105CC-D739-4A3A-93D7-F28B6EA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4847-604A-469F-9B0F-182B86A1C3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4993E8-5940-49DC-9BDE-3F526117A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4B243-F6EB-48E1-8C0B-F6319DFE6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9E222-57A1-449E-9F17-4A9342F74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2018-07-11T21:39:00Z</cp:lastPrinted>
  <dcterms:created xsi:type="dcterms:W3CDTF">2022-06-15T15:19:00Z</dcterms:created>
  <dcterms:modified xsi:type="dcterms:W3CDTF">2022-06-15T15:19:00Z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  <property fmtid="{D5CDD505-2E9C-101B-9397-08002B2CF9AE}" pid="3" name="Order">
    <vt:r8>894600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